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oper Black" w:hAnsi="Cooper Black"/>
          <w:color w:val="FF0000"/>
          <w:sz w:val="24"/>
        </w:rPr>
      </w:pPr>
      <w:r>
        <w:rPr>
          <w:rFonts w:ascii="Cooper Black" w:hAnsi="Cooper Black"/>
          <w:color w:val="FF0000"/>
          <w:sz w:val="24"/>
        </w:rPr>
        <w:t>Communication de projets prévus à l’occasion de la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oper Black" w:hAnsi="Cooper Black"/>
          <w:color w:val="FF0000"/>
          <w:sz w:val="24"/>
        </w:rPr>
      </w:pPr>
      <w:r>
        <w:rPr>
          <w:rFonts w:ascii="Cooper Black" w:hAnsi="Cooper Black"/>
          <w:color w:val="FF0000"/>
          <w:sz w:val="24"/>
        </w:rPr>
        <w:t>SPME 2023</w:t>
      </w:r>
    </w:p>
    <w:p>
      <w:pPr>
        <w:pStyle w:val="NoSpacing"/>
        <w:jc w:val="both"/>
        <w:rPr>
          <w:sz w:val="18"/>
        </w:rPr>
      </w:pPr>
      <w:r>
        <w:rPr>
          <w:sz w:val="18"/>
        </w:rPr>
      </w:r>
    </w:p>
    <w:tbl>
      <w:tblPr>
        <w:tblStyle w:val="Grilledutableau"/>
        <w:tblW w:w="15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1"/>
        <w:gridCol w:w="2695"/>
        <w:gridCol w:w="3418"/>
        <w:gridCol w:w="2451"/>
        <w:gridCol w:w="2452"/>
        <w:gridCol w:w="3301"/>
      </w:tblGrid>
      <w:tr>
        <w:trPr/>
        <w:tc>
          <w:tcPr>
            <w:tcW w:w="124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Titre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color w:val="7030A0"/>
                <w:sz w:val="20"/>
              </w:rPr>
            </w:pPr>
            <w:r>
              <w:rPr>
                <w:rFonts w:eastAsia="Calibri" w:cs=""/>
                <w:b/>
                <w:color w:val="7030A0"/>
                <w:kern w:val="0"/>
                <w:sz w:val="20"/>
                <w:szCs w:val="22"/>
                <w:lang w:val="fr-FR" w:eastAsia="en-US" w:bidi="ar-SA"/>
              </w:rPr>
              <w:t>« Images et médias »</w:t>
            </w:r>
          </w:p>
        </w:tc>
        <w:tc>
          <w:tcPr>
            <w:tcW w:w="3418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color w:val="7030A0"/>
                <w:sz w:val="20"/>
              </w:rPr>
            </w:pPr>
            <w:r>
              <w:rPr>
                <w:rFonts w:eastAsia="Calibri" w:cs=""/>
                <w:b/>
                <w:color w:val="7030A0"/>
                <w:kern w:val="0"/>
                <w:sz w:val="20"/>
                <w:szCs w:val="22"/>
                <w:lang w:val="fr-FR" w:eastAsia="en-US" w:bidi="ar-SA"/>
              </w:rPr>
              <w:t>« Je reconnais les informations fiables »</w:t>
            </w:r>
          </w:p>
        </w:tc>
        <w:tc>
          <w:tcPr>
            <w:tcW w:w="245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color w:val="7030A0"/>
                <w:sz w:val="20"/>
              </w:rPr>
            </w:pPr>
            <w:r>
              <w:rPr>
                <w:rFonts w:eastAsia="Calibri" w:cs=""/>
                <w:b/>
                <w:color w:val="7030A0"/>
                <w:kern w:val="0"/>
                <w:sz w:val="20"/>
                <w:szCs w:val="22"/>
                <w:lang w:val="fr-FR" w:eastAsia="en-US" w:bidi="ar-SA"/>
              </w:rPr>
              <w:t>« 4</w:t>
            </w:r>
            <w:r>
              <w:rPr>
                <w:rFonts w:eastAsia="Calibri" w:cs=""/>
                <w:b/>
                <w:color w:val="7030A0"/>
                <w:kern w:val="0"/>
                <w:sz w:val="20"/>
                <w:szCs w:val="22"/>
                <w:vertAlign w:val="superscript"/>
                <w:lang w:val="fr-FR" w:eastAsia="en-US" w:bidi="ar-SA"/>
              </w:rPr>
              <w:t>ème</w:t>
            </w:r>
            <w:r>
              <w:rPr>
                <w:rFonts w:eastAsia="Calibri" w:cs=""/>
                <w:b/>
                <w:color w:val="7030A0"/>
                <w:kern w:val="0"/>
                <w:sz w:val="20"/>
                <w:szCs w:val="22"/>
                <w:lang w:val="fr-FR" w:eastAsia="en-US" w:bidi="ar-SA"/>
              </w:rPr>
              <w:t xml:space="preserve"> Radio ! »</w:t>
            </w:r>
          </w:p>
        </w:tc>
        <w:tc>
          <w:tcPr>
            <w:tcW w:w="2452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color w:val="7030A0"/>
                <w:sz w:val="20"/>
              </w:rPr>
            </w:pPr>
            <w:r>
              <w:rPr>
                <w:rFonts w:eastAsia="Calibri" w:cs=""/>
                <w:b/>
                <w:color w:val="7030A0"/>
                <w:kern w:val="0"/>
                <w:sz w:val="20"/>
                <w:szCs w:val="22"/>
                <w:lang w:val="fr-FR" w:eastAsia="en-US" w:bidi="ar-SA"/>
              </w:rPr>
              <w:t>« Des Unes … pas si Uniques ! »</w:t>
            </w:r>
          </w:p>
        </w:tc>
        <w:tc>
          <w:tcPr>
            <w:tcW w:w="330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color w:val="7030A0"/>
                <w:sz w:val="20"/>
              </w:rPr>
            </w:pPr>
            <w:r>
              <w:rPr>
                <w:rFonts w:eastAsia="Calibri" w:cs=""/>
                <w:b/>
                <w:color w:val="7030A0"/>
                <w:kern w:val="0"/>
                <w:sz w:val="20"/>
                <w:szCs w:val="22"/>
                <w:lang w:val="fr-FR" w:eastAsia="en-US" w:bidi="ar-SA"/>
              </w:rPr>
              <w:t>« La liberté d’expression … et ses limites ! »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Cadre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AP</w:t>
            </w:r>
          </w:p>
        </w:tc>
        <w:tc>
          <w:tcPr>
            <w:tcW w:w="3418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AP</w:t>
            </w:r>
          </w:p>
        </w:tc>
        <w:tc>
          <w:tcPr>
            <w:tcW w:w="245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Atelier Radio</w:t>
            </w:r>
          </w:p>
        </w:tc>
        <w:tc>
          <w:tcPr>
            <w:tcW w:w="2452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Français</w:t>
            </w:r>
          </w:p>
        </w:tc>
        <w:tc>
          <w:tcPr>
            <w:tcW w:w="330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EMC - HG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Niveau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6</w:t>
            </w:r>
            <w:r>
              <w:rPr>
                <w:rFonts w:eastAsia="Calibri" w:cs=""/>
                <w:kern w:val="0"/>
                <w:sz w:val="20"/>
                <w:szCs w:val="22"/>
                <w:vertAlign w:val="superscript"/>
                <w:lang w:val="fr-FR" w:eastAsia="en-US" w:bidi="ar-SA"/>
              </w:rPr>
              <w:t>ème</w:t>
            </w:r>
          </w:p>
        </w:tc>
        <w:tc>
          <w:tcPr>
            <w:tcW w:w="3418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6</w:t>
            </w:r>
            <w:r>
              <w:rPr>
                <w:rFonts w:eastAsia="Calibri" w:cs=""/>
                <w:kern w:val="0"/>
                <w:sz w:val="20"/>
                <w:szCs w:val="22"/>
                <w:vertAlign w:val="superscript"/>
                <w:lang w:val="fr-FR" w:eastAsia="en-US" w:bidi="ar-SA"/>
              </w:rPr>
              <w:t>ème</w:t>
            </w:r>
          </w:p>
        </w:tc>
        <w:tc>
          <w:tcPr>
            <w:tcW w:w="245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2"/>
                <w:vertAlign w:val="superscript"/>
                <w:lang w:val="fr-FR" w:eastAsia="en-US" w:bidi="ar-SA"/>
              </w:rPr>
              <w:t>ème</w:t>
            </w:r>
          </w:p>
        </w:tc>
        <w:tc>
          <w:tcPr>
            <w:tcW w:w="2452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2"/>
                <w:vertAlign w:val="superscript"/>
                <w:lang w:val="fr-FR" w:eastAsia="en-US" w:bidi="ar-SA"/>
              </w:rPr>
              <w:t>ème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A et 4</w:t>
            </w:r>
            <w:r>
              <w:rPr>
                <w:rFonts w:eastAsia="Calibri" w:cs=""/>
                <w:kern w:val="0"/>
                <w:sz w:val="20"/>
                <w:szCs w:val="22"/>
                <w:vertAlign w:val="superscript"/>
                <w:lang w:val="fr-FR" w:eastAsia="en-US" w:bidi="ar-SA"/>
              </w:rPr>
              <w:t>ème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J</w:t>
            </w:r>
          </w:p>
        </w:tc>
        <w:tc>
          <w:tcPr>
            <w:tcW w:w="330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4</w:t>
            </w:r>
            <w:r>
              <w:rPr>
                <w:rFonts w:eastAsia="Calibri" w:cs=""/>
                <w:kern w:val="0"/>
                <w:sz w:val="20"/>
                <w:szCs w:val="22"/>
                <w:vertAlign w:val="superscript"/>
                <w:lang w:val="fr-FR" w:eastAsia="en-US" w:bidi="ar-SA"/>
              </w:rPr>
              <w:t>ème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C et 4</w:t>
            </w:r>
            <w:r>
              <w:rPr>
                <w:rFonts w:eastAsia="Calibri" w:cs=""/>
                <w:kern w:val="0"/>
                <w:sz w:val="20"/>
                <w:szCs w:val="22"/>
                <w:vertAlign w:val="superscript"/>
                <w:lang w:val="fr-FR" w:eastAsia="en-US" w:bidi="ar-SA"/>
              </w:rPr>
              <w:t>ème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J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Durée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1 heure – pendant SPME</w:t>
            </w:r>
          </w:p>
        </w:tc>
        <w:tc>
          <w:tcPr>
            <w:tcW w:w="3418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2 heures – Pendant SPME</w:t>
            </w:r>
          </w:p>
        </w:tc>
        <w:tc>
          <w:tcPr>
            <w:tcW w:w="245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1 heure hebdomadaire</w:t>
            </w:r>
          </w:p>
        </w:tc>
        <w:tc>
          <w:tcPr>
            <w:tcW w:w="2452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2 heures – en amont et pendant SPME</w:t>
            </w:r>
          </w:p>
        </w:tc>
        <w:tc>
          <w:tcPr>
            <w:tcW w:w="330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2 heures – Pendant SPME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Objectifs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Comprendre le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rôle de l’image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dans les différents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médias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d’information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(journaux, JT, sites internet)</w:t>
            </w:r>
          </w:p>
        </w:tc>
        <w:tc>
          <w:tcPr>
            <w:tcW w:w="3418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Découverte et compréhension de l’univers des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fake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news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,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hoax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et autres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canulars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.</w:t>
            </w:r>
          </w:p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Connaître des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astuces et ressources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permettant de déceler une fake news</w:t>
            </w:r>
          </w:p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Connaitre l’existence et les noms des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principaux sites d’information parodiques</w:t>
            </w:r>
          </w:p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Apprendre à faire une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 xml:space="preserve"> recherche d’image inversée</w:t>
            </w:r>
          </w:p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Savoir distinguer une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information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d’une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rumeur</w:t>
            </w:r>
          </w:p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Savoir distinguer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désinformation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et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mésinformation</w:t>
            </w:r>
          </w:p>
        </w:tc>
        <w:tc>
          <w:tcPr>
            <w:tcW w:w="245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Découverte de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l’histoire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de la radio, des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métiers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et du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fonctionnement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propres à ce média</w:t>
            </w:r>
          </w:p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Comprendre l’importance de la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pluralité des médias</w:t>
            </w:r>
          </w:p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Connaître le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 xml:space="preserve">cadre légal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concernant l’utilisation d’audios</w:t>
            </w:r>
          </w:p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Première approche du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montage audio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(Audacity©)</w:t>
            </w:r>
          </w:p>
        </w:tc>
        <w:tc>
          <w:tcPr>
            <w:tcW w:w="2452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Activité de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feuilletage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de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périodiques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.</w:t>
            </w:r>
          </w:p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Connaître les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fonctions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de la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Une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, son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vocabulaire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spécifique et ses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fonctions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.</w:t>
            </w:r>
          </w:p>
        </w:tc>
        <w:tc>
          <w:tcPr>
            <w:tcW w:w="330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Connaitre le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cadre légal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concernant la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liberté d’expression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et ses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limites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(notamment à travers l’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étude de cas d’une caricature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)</w:t>
            </w:r>
          </w:p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 xml:space="preserve">Expérimenter sa propre liberté d’expression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et apprécier son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importance démocratique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fondamentale</w:t>
            </w:r>
          </w:p>
        </w:tc>
      </w:tr>
      <w:tr>
        <w:trPr/>
        <w:tc>
          <w:tcPr>
            <w:tcW w:w="124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Activités / Production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Production d’une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false news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à partir d’une image sortie de son contexte. Le but étant la prise de conscience de la facilité existante à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manipuler l’opinion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publique à travers l’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image médiatique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.</w:t>
            </w:r>
          </w:p>
        </w:tc>
        <w:tc>
          <w:tcPr>
            <w:tcW w:w="3418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Production d’une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fake news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détournée d’une information insolite. Le but étant d’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 xml:space="preserve">exercer la liberté d’expression 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à des fins humoristiques.</w:t>
            </w:r>
          </w:p>
        </w:tc>
        <w:tc>
          <w:tcPr>
            <w:tcW w:w="245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Production d’une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émission radio unique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destinée à être présentée en « avant-première » au CDI</w:t>
            </w:r>
          </w:p>
        </w:tc>
        <w:tc>
          <w:tcPr>
            <w:tcW w:w="2452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Production d’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Unes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produites en groupes sous forme d’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édition spéciale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pour le collège</w:t>
            </w:r>
          </w:p>
        </w:tc>
        <w:tc>
          <w:tcPr>
            <w:tcW w:w="3301" w:type="dxa"/>
            <w:tcBorders/>
          </w:tcPr>
          <w:p>
            <w:pPr>
              <w:pStyle w:val="NoSpacing"/>
              <w:widowControl/>
              <w:spacing w:before="120" w:after="120"/>
              <w:jc w:val="center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>A partir d’un mini-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panorama de presse 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: production de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billets d’humeur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et/ou de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caricatures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(sur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deux thèmes d’actualité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 : la guerre en Ukraine et la réforme des retraites) destinés à figurer sur le 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fr-FR" w:eastAsia="en-US" w:bidi="ar-SA"/>
              </w:rPr>
              <w:t>Dazibao éphémère</w:t>
            </w:r>
            <w:r>
              <w:rPr>
                <w:rFonts w:eastAsia="Calibri" w:cs=""/>
                <w:kern w:val="0"/>
                <w:sz w:val="20"/>
                <w:szCs w:val="22"/>
                <w:lang w:val="fr-FR" w:eastAsia="en-US" w:bidi="ar-SA"/>
              </w:rPr>
              <w:t xml:space="preserve"> du CDI.</w:t>
            </w:r>
          </w:p>
        </w:tc>
      </w:tr>
    </w:tbl>
    <w:p>
      <w:pPr>
        <w:pStyle w:val="NoSpacing"/>
        <w:jc w:val="both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851" w:right="1417" w:gutter="0" w:header="0" w:top="42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oper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350b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7f04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LibreOffice/7.4.3.2$Windows_X86_64 LibreOffice_project/1048a8393ae2eeec98dff31b5c133c5f1d08b890</Application>
  <AppVersion>15.0000</AppVersion>
  <Pages>1</Pages>
  <Words>354</Words>
  <Characters>1943</Characters>
  <CharactersWithSpaces>2253</CharactersWithSpaces>
  <Paragraphs>48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2023-03-21T08:46:00Z</dcterms:created>
  <dc:creator>Fantine</dc:creator>
  <dc:description/>
  <dc:language>fr-FR</dc:language>
  <cp:lastModifiedBy/>
  <dcterms:modified xsi:type="dcterms:W3CDTF">2023-03-23T15:22:25Z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